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FF72" w14:textId="6693E7A2" w:rsidR="00551903" w:rsidRPr="00577AE1" w:rsidRDefault="00551903" w:rsidP="00577AE1">
      <w:pPr>
        <w:tabs>
          <w:tab w:val="right" w:pos="9360"/>
        </w:tabs>
        <w:jc w:val="right"/>
        <w:rPr>
          <w:sz w:val="18"/>
          <w:szCs w:val="18"/>
        </w:rPr>
      </w:pPr>
      <w:r>
        <w:t xml:space="preserve">                                                                     </w:t>
      </w:r>
      <w:r w:rsidRPr="00577AE1">
        <w:rPr>
          <w:sz w:val="18"/>
          <w:szCs w:val="18"/>
        </w:rPr>
        <w:t>46175 Westlake Dr.</w:t>
      </w:r>
    </w:p>
    <w:p w14:paraId="586BBF49" w14:textId="77777777" w:rsidR="001803AB" w:rsidRPr="00577AE1" w:rsidRDefault="00551903" w:rsidP="00551903">
      <w:pPr>
        <w:jc w:val="right"/>
        <w:rPr>
          <w:sz w:val="18"/>
          <w:szCs w:val="18"/>
        </w:rPr>
      </w:pPr>
      <w:r w:rsidRPr="00577AE1">
        <w:rPr>
          <w:sz w:val="18"/>
          <w:szCs w:val="18"/>
        </w:rPr>
        <w:t>Potomac Falls, VA</w:t>
      </w:r>
    </w:p>
    <w:p w14:paraId="704528BB" w14:textId="50429D1D" w:rsidR="00551903" w:rsidRDefault="00551903" w:rsidP="00551903">
      <w:pPr>
        <w:jc w:val="right"/>
      </w:pPr>
      <w:r w:rsidRPr="00577AE1">
        <w:rPr>
          <w:sz w:val="18"/>
          <w:szCs w:val="18"/>
        </w:rPr>
        <w:t>Office: 703-543-200</w:t>
      </w:r>
      <w:r w:rsidR="00DD548A">
        <w:rPr>
          <w:sz w:val="18"/>
          <w:szCs w:val="18"/>
        </w:rPr>
        <w:t>0</w:t>
      </w:r>
    </w:p>
    <w:p w14:paraId="2838799B" w14:textId="77777777" w:rsidR="00E03651" w:rsidRDefault="00E03651" w:rsidP="00E03651"/>
    <w:p w14:paraId="199E09E6" w14:textId="77777777" w:rsidR="00E03651" w:rsidRDefault="00E03651" w:rsidP="00E03651"/>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798"/>
        <w:gridCol w:w="5742"/>
      </w:tblGrid>
      <w:tr w:rsidR="00E03651" w:rsidRPr="00D35950" w14:paraId="40B63B5F" w14:textId="77777777" w:rsidTr="00E03651">
        <w:tc>
          <w:tcPr>
            <w:tcW w:w="3798" w:type="dxa"/>
            <w:shd w:val="clear" w:color="auto" w:fill="8DB3E2" w:themeFill="text2" w:themeFillTint="66"/>
            <w:tcMar>
              <w:top w:w="0" w:type="dxa"/>
              <w:left w:w="108" w:type="dxa"/>
              <w:bottom w:w="0" w:type="dxa"/>
              <w:right w:w="108" w:type="dxa"/>
            </w:tcMar>
          </w:tcPr>
          <w:p w14:paraId="5EEE872F" w14:textId="77777777" w:rsidR="00E03651" w:rsidRPr="00D35950" w:rsidRDefault="00E03651" w:rsidP="00A42374">
            <w:pPr>
              <w:rPr>
                <w:b/>
                <w:bCs/>
                <w:szCs w:val="20"/>
              </w:rPr>
            </w:pPr>
            <w:r w:rsidRPr="00D35950">
              <w:rPr>
                <w:b/>
                <w:bCs/>
                <w:szCs w:val="20"/>
              </w:rPr>
              <w:t>Agency Name</w:t>
            </w:r>
          </w:p>
        </w:tc>
        <w:tc>
          <w:tcPr>
            <w:tcW w:w="5742" w:type="dxa"/>
            <w:tcMar>
              <w:top w:w="0" w:type="dxa"/>
              <w:left w:w="108" w:type="dxa"/>
              <w:bottom w:w="0" w:type="dxa"/>
              <w:right w:w="108" w:type="dxa"/>
            </w:tcMar>
          </w:tcPr>
          <w:p w14:paraId="7FC4EC9D" w14:textId="77777777" w:rsidR="00E03651" w:rsidRPr="00124F5B" w:rsidRDefault="00E03651" w:rsidP="00A42374">
            <w:pPr>
              <w:rPr>
                <w:b/>
              </w:rPr>
            </w:pPr>
            <w:r>
              <w:rPr>
                <w:b/>
              </w:rPr>
              <w:t>Department of State</w:t>
            </w:r>
          </w:p>
        </w:tc>
      </w:tr>
      <w:tr w:rsidR="00E03651" w:rsidRPr="00D35950" w14:paraId="47CB2248" w14:textId="77777777" w:rsidTr="00E03651">
        <w:tc>
          <w:tcPr>
            <w:tcW w:w="3798" w:type="dxa"/>
            <w:shd w:val="clear" w:color="auto" w:fill="8DB3E2" w:themeFill="text2" w:themeFillTint="66"/>
            <w:tcMar>
              <w:top w:w="0" w:type="dxa"/>
              <w:left w:w="108" w:type="dxa"/>
              <w:bottom w:w="0" w:type="dxa"/>
              <w:right w:w="108" w:type="dxa"/>
            </w:tcMar>
          </w:tcPr>
          <w:p w14:paraId="2A107A90" w14:textId="77777777" w:rsidR="00E03651" w:rsidRPr="00D35950" w:rsidRDefault="00E03651" w:rsidP="00A42374">
            <w:pPr>
              <w:rPr>
                <w:b/>
                <w:bCs/>
                <w:szCs w:val="20"/>
              </w:rPr>
            </w:pPr>
            <w:r w:rsidRPr="00D35950">
              <w:rPr>
                <w:b/>
                <w:bCs/>
                <w:szCs w:val="20"/>
              </w:rPr>
              <w:t>Address</w:t>
            </w:r>
          </w:p>
        </w:tc>
        <w:tc>
          <w:tcPr>
            <w:tcW w:w="5742" w:type="dxa"/>
            <w:tcMar>
              <w:top w:w="0" w:type="dxa"/>
              <w:left w:w="108" w:type="dxa"/>
              <w:bottom w:w="0" w:type="dxa"/>
              <w:right w:w="108" w:type="dxa"/>
            </w:tcMar>
          </w:tcPr>
          <w:p w14:paraId="553AB1FD" w14:textId="77777777" w:rsidR="00E03651" w:rsidRPr="00EE1751" w:rsidRDefault="00E03651" w:rsidP="00A42374">
            <w:r>
              <w:t>7799 Leesburg Pike Falls Church VA 22043</w:t>
            </w:r>
          </w:p>
        </w:tc>
      </w:tr>
      <w:tr w:rsidR="00E03651" w:rsidRPr="00D35950" w14:paraId="343BDECC" w14:textId="77777777" w:rsidTr="00E03651">
        <w:tc>
          <w:tcPr>
            <w:tcW w:w="3798" w:type="dxa"/>
            <w:shd w:val="clear" w:color="auto" w:fill="8DB3E2" w:themeFill="text2" w:themeFillTint="66"/>
            <w:tcMar>
              <w:top w:w="0" w:type="dxa"/>
              <w:left w:w="108" w:type="dxa"/>
              <w:bottom w:w="0" w:type="dxa"/>
              <w:right w:w="108" w:type="dxa"/>
            </w:tcMar>
          </w:tcPr>
          <w:p w14:paraId="56EF0929" w14:textId="77777777" w:rsidR="00E03651" w:rsidRPr="00D35950" w:rsidRDefault="00E03651" w:rsidP="00A42374">
            <w:pPr>
              <w:rPr>
                <w:b/>
                <w:bCs/>
                <w:szCs w:val="20"/>
              </w:rPr>
            </w:pPr>
            <w:r w:rsidRPr="00D35950">
              <w:rPr>
                <w:b/>
                <w:bCs/>
                <w:szCs w:val="20"/>
              </w:rPr>
              <w:t>Telephone Number</w:t>
            </w:r>
          </w:p>
        </w:tc>
        <w:tc>
          <w:tcPr>
            <w:tcW w:w="5742" w:type="dxa"/>
            <w:tcMar>
              <w:top w:w="0" w:type="dxa"/>
              <w:left w:w="108" w:type="dxa"/>
              <w:bottom w:w="0" w:type="dxa"/>
              <w:right w:w="108" w:type="dxa"/>
            </w:tcMar>
          </w:tcPr>
          <w:p w14:paraId="2B3F3E0A" w14:textId="77777777" w:rsidR="00E03651" w:rsidRPr="00EE1751" w:rsidRDefault="00E03651" w:rsidP="00A42374">
            <w:r>
              <w:t>(703) 610-4626</w:t>
            </w:r>
          </w:p>
        </w:tc>
      </w:tr>
      <w:tr w:rsidR="00E03651" w:rsidRPr="00D35950" w14:paraId="60FB4F23" w14:textId="77777777" w:rsidTr="00E03651">
        <w:tc>
          <w:tcPr>
            <w:tcW w:w="3798" w:type="dxa"/>
            <w:shd w:val="clear" w:color="auto" w:fill="8DB3E2" w:themeFill="text2" w:themeFillTint="66"/>
            <w:tcMar>
              <w:top w:w="0" w:type="dxa"/>
              <w:left w:w="108" w:type="dxa"/>
              <w:bottom w:w="0" w:type="dxa"/>
              <w:right w:w="108" w:type="dxa"/>
            </w:tcMar>
          </w:tcPr>
          <w:p w14:paraId="77DF17CA" w14:textId="77777777" w:rsidR="00E03651" w:rsidRPr="00D35950" w:rsidRDefault="00E03651" w:rsidP="00A42374">
            <w:pPr>
              <w:rPr>
                <w:i/>
                <w:iCs/>
                <w:szCs w:val="20"/>
              </w:rPr>
            </w:pPr>
            <w:r w:rsidRPr="00D35950">
              <w:rPr>
                <w:i/>
                <w:iCs/>
                <w:szCs w:val="20"/>
              </w:rPr>
              <w:t>   Facsimile Number</w:t>
            </w:r>
          </w:p>
        </w:tc>
        <w:tc>
          <w:tcPr>
            <w:tcW w:w="5742" w:type="dxa"/>
            <w:tcMar>
              <w:top w:w="0" w:type="dxa"/>
              <w:left w:w="108" w:type="dxa"/>
              <w:bottom w:w="0" w:type="dxa"/>
              <w:right w:w="108" w:type="dxa"/>
            </w:tcMar>
          </w:tcPr>
          <w:p w14:paraId="44A09EDD" w14:textId="77777777" w:rsidR="00E03651" w:rsidRPr="00EE1751" w:rsidRDefault="00E03651" w:rsidP="00A42374">
            <w:r>
              <w:t>(321) 674-2658</w:t>
            </w:r>
          </w:p>
        </w:tc>
      </w:tr>
      <w:tr w:rsidR="00E03651" w:rsidRPr="00D35950" w14:paraId="1D6069AD" w14:textId="77777777" w:rsidTr="00E03651">
        <w:tc>
          <w:tcPr>
            <w:tcW w:w="3798" w:type="dxa"/>
            <w:shd w:val="clear" w:color="auto" w:fill="8DB3E2" w:themeFill="text2" w:themeFillTint="66"/>
            <w:tcMar>
              <w:top w:w="0" w:type="dxa"/>
              <w:left w:w="108" w:type="dxa"/>
              <w:bottom w:w="0" w:type="dxa"/>
              <w:right w:w="108" w:type="dxa"/>
            </w:tcMar>
          </w:tcPr>
          <w:p w14:paraId="2417DD2A" w14:textId="77777777" w:rsidR="00E03651" w:rsidRPr="00D35950" w:rsidRDefault="00E03651" w:rsidP="00A42374">
            <w:pPr>
              <w:rPr>
                <w:i/>
                <w:iCs/>
                <w:szCs w:val="20"/>
              </w:rPr>
            </w:pPr>
            <w:r w:rsidRPr="00D35950">
              <w:rPr>
                <w:i/>
                <w:iCs/>
                <w:szCs w:val="20"/>
              </w:rPr>
              <w:t>   Electronic Mail</w:t>
            </w:r>
          </w:p>
        </w:tc>
        <w:tc>
          <w:tcPr>
            <w:tcW w:w="5742" w:type="dxa"/>
            <w:tcMar>
              <w:top w:w="0" w:type="dxa"/>
              <w:left w:w="108" w:type="dxa"/>
              <w:bottom w:w="0" w:type="dxa"/>
              <w:right w:w="108" w:type="dxa"/>
            </w:tcMar>
          </w:tcPr>
          <w:p w14:paraId="428C59DE" w14:textId="77777777" w:rsidR="00E03651" w:rsidRPr="00EE1751" w:rsidRDefault="00E03651" w:rsidP="00A42374">
            <w:r w:rsidRPr="002129AC">
              <w:t>lmills02@harris.com</w:t>
            </w:r>
          </w:p>
        </w:tc>
      </w:tr>
      <w:tr w:rsidR="00E03651" w:rsidRPr="00D35950" w14:paraId="1F431A7B" w14:textId="77777777" w:rsidTr="00E03651">
        <w:tc>
          <w:tcPr>
            <w:tcW w:w="3798" w:type="dxa"/>
            <w:shd w:val="clear" w:color="auto" w:fill="8DB3E2" w:themeFill="text2" w:themeFillTint="66"/>
            <w:tcMar>
              <w:top w:w="0" w:type="dxa"/>
              <w:left w:w="108" w:type="dxa"/>
              <w:bottom w:w="0" w:type="dxa"/>
              <w:right w:w="108" w:type="dxa"/>
            </w:tcMar>
          </w:tcPr>
          <w:p w14:paraId="16C2C507" w14:textId="77777777" w:rsidR="00E03651" w:rsidRPr="00D35950" w:rsidRDefault="00E03651" w:rsidP="00A42374">
            <w:pPr>
              <w:rPr>
                <w:b/>
                <w:bCs/>
                <w:szCs w:val="20"/>
              </w:rPr>
            </w:pPr>
            <w:r w:rsidRPr="00D35950">
              <w:rPr>
                <w:b/>
                <w:bCs/>
                <w:szCs w:val="20"/>
              </w:rPr>
              <w:t>Point of Contact</w:t>
            </w:r>
          </w:p>
        </w:tc>
        <w:tc>
          <w:tcPr>
            <w:tcW w:w="5742" w:type="dxa"/>
            <w:tcMar>
              <w:top w:w="0" w:type="dxa"/>
              <w:left w:w="108" w:type="dxa"/>
              <w:bottom w:w="0" w:type="dxa"/>
              <w:right w:w="108" w:type="dxa"/>
            </w:tcMar>
          </w:tcPr>
          <w:p w14:paraId="490D5357" w14:textId="77777777" w:rsidR="00E03651" w:rsidRPr="00EE1751" w:rsidRDefault="00E03651" w:rsidP="00A42374">
            <w:r>
              <w:t>Lorraine Mills</w:t>
            </w:r>
          </w:p>
        </w:tc>
      </w:tr>
      <w:tr w:rsidR="00E03651" w:rsidRPr="00D35950" w14:paraId="08668B4C" w14:textId="77777777" w:rsidTr="00E03651">
        <w:tc>
          <w:tcPr>
            <w:tcW w:w="3798" w:type="dxa"/>
            <w:shd w:val="clear" w:color="auto" w:fill="8DB3E2" w:themeFill="text2" w:themeFillTint="66"/>
            <w:tcMar>
              <w:top w:w="0" w:type="dxa"/>
              <w:left w:w="108" w:type="dxa"/>
              <w:bottom w:w="0" w:type="dxa"/>
              <w:right w:w="108" w:type="dxa"/>
            </w:tcMar>
          </w:tcPr>
          <w:p w14:paraId="6C5BAD68" w14:textId="77777777" w:rsidR="00E03651" w:rsidRPr="00D35950" w:rsidRDefault="00E03651" w:rsidP="00A42374">
            <w:pPr>
              <w:rPr>
                <w:b/>
                <w:bCs/>
                <w:szCs w:val="20"/>
              </w:rPr>
            </w:pPr>
            <w:r w:rsidRPr="00D35950">
              <w:rPr>
                <w:b/>
                <w:bCs/>
                <w:szCs w:val="20"/>
              </w:rPr>
              <w:t>Type of Customer</w:t>
            </w:r>
          </w:p>
        </w:tc>
        <w:tc>
          <w:tcPr>
            <w:tcW w:w="5742" w:type="dxa"/>
            <w:tcMar>
              <w:top w:w="0" w:type="dxa"/>
              <w:left w:w="108" w:type="dxa"/>
              <w:bottom w:w="0" w:type="dxa"/>
              <w:right w:w="108" w:type="dxa"/>
            </w:tcMar>
          </w:tcPr>
          <w:p w14:paraId="14186EFD" w14:textId="77777777" w:rsidR="00E03651" w:rsidRPr="00EE1751" w:rsidRDefault="00E03651" w:rsidP="00A42374">
            <w:r>
              <w:t>Federal Government Subcontractor</w:t>
            </w:r>
          </w:p>
        </w:tc>
      </w:tr>
      <w:tr w:rsidR="00E03651" w:rsidRPr="00D35950" w14:paraId="5DBA9EA2" w14:textId="77777777" w:rsidTr="00E03651">
        <w:tc>
          <w:tcPr>
            <w:tcW w:w="3798" w:type="dxa"/>
            <w:shd w:val="clear" w:color="auto" w:fill="8DB3E2" w:themeFill="text2" w:themeFillTint="66"/>
            <w:tcMar>
              <w:top w:w="0" w:type="dxa"/>
              <w:left w:w="108" w:type="dxa"/>
              <w:bottom w:w="0" w:type="dxa"/>
              <w:right w:w="108" w:type="dxa"/>
            </w:tcMar>
          </w:tcPr>
          <w:p w14:paraId="60FA9C9A" w14:textId="77777777" w:rsidR="00E03651" w:rsidRPr="00D35950" w:rsidRDefault="00E03651" w:rsidP="00A42374">
            <w:pPr>
              <w:rPr>
                <w:b/>
                <w:bCs/>
                <w:szCs w:val="20"/>
              </w:rPr>
            </w:pPr>
            <w:r w:rsidRPr="00D35950">
              <w:rPr>
                <w:b/>
                <w:bCs/>
                <w:szCs w:val="20"/>
              </w:rPr>
              <w:t>Contract Number</w:t>
            </w:r>
          </w:p>
        </w:tc>
        <w:tc>
          <w:tcPr>
            <w:tcW w:w="5742" w:type="dxa"/>
            <w:tcMar>
              <w:top w:w="0" w:type="dxa"/>
              <w:left w:w="108" w:type="dxa"/>
              <w:bottom w:w="0" w:type="dxa"/>
              <w:right w:w="108" w:type="dxa"/>
            </w:tcMar>
          </w:tcPr>
          <w:p w14:paraId="0956B06B" w14:textId="77777777" w:rsidR="00E03651" w:rsidRPr="00EE1751" w:rsidRDefault="00E03651" w:rsidP="00A42374">
            <w:r>
              <w:t>S-AQMMA-09-C-0187</w:t>
            </w:r>
          </w:p>
        </w:tc>
      </w:tr>
      <w:tr w:rsidR="00E03651" w:rsidRPr="00D35950" w14:paraId="5F45CC3B" w14:textId="77777777" w:rsidTr="00E03651">
        <w:tc>
          <w:tcPr>
            <w:tcW w:w="3798" w:type="dxa"/>
            <w:shd w:val="clear" w:color="auto" w:fill="8DB3E2" w:themeFill="text2" w:themeFillTint="66"/>
            <w:tcMar>
              <w:top w:w="0" w:type="dxa"/>
              <w:left w:w="108" w:type="dxa"/>
              <w:bottom w:w="0" w:type="dxa"/>
              <w:right w:w="108" w:type="dxa"/>
            </w:tcMar>
          </w:tcPr>
          <w:p w14:paraId="5B649BAB" w14:textId="77777777" w:rsidR="00E03651" w:rsidRPr="00D35950" w:rsidRDefault="00E03651" w:rsidP="00A42374">
            <w:pPr>
              <w:rPr>
                <w:i/>
                <w:iCs/>
                <w:szCs w:val="20"/>
              </w:rPr>
            </w:pPr>
            <w:r w:rsidRPr="00D35950">
              <w:rPr>
                <w:i/>
                <w:iCs/>
                <w:szCs w:val="20"/>
              </w:rPr>
              <w:t>   Contract Name</w:t>
            </w:r>
          </w:p>
        </w:tc>
        <w:tc>
          <w:tcPr>
            <w:tcW w:w="5742" w:type="dxa"/>
            <w:tcMar>
              <w:top w:w="0" w:type="dxa"/>
              <w:left w:w="108" w:type="dxa"/>
              <w:bottom w:w="0" w:type="dxa"/>
              <w:right w:w="108" w:type="dxa"/>
            </w:tcMar>
          </w:tcPr>
          <w:p w14:paraId="3DB4E1C3" w14:textId="77777777" w:rsidR="00E03651" w:rsidRPr="00EE1751" w:rsidRDefault="00225FCC" w:rsidP="00A42374">
            <w:r>
              <w:t>Maintenance and Configuration Support for Automated Consular Systems</w:t>
            </w:r>
          </w:p>
        </w:tc>
      </w:tr>
      <w:tr w:rsidR="00E03651" w:rsidRPr="00D35950" w14:paraId="797DD0AB" w14:textId="77777777" w:rsidTr="00E03651">
        <w:trPr>
          <w:trHeight w:val="207"/>
        </w:trPr>
        <w:tc>
          <w:tcPr>
            <w:tcW w:w="3798" w:type="dxa"/>
            <w:shd w:val="clear" w:color="auto" w:fill="8DB3E2" w:themeFill="text2" w:themeFillTint="66"/>
            <w:tcMar>
              <w:top w:w="0" w:type="dxa"/>
              <w:left w:w="108" w:type="dxa"/>
              <w:bottom w:w="0" w:type="dxa"/>
              <w:right w:w="108" w:type="dxa"/>
            </w:tcMar>
          </w:tcPr>
          <w:p w14:paraId="13B8DDD6" w14:textId="77777777" w:rsidR="00E03651" w:rsidRPr="00D35950" w:rsidRDefault="00E03651" w:rsidP="00A42374">
            <w:pPr>
              <w:rPr>
                <w:i/>
                <w:iCs/>
                <w:szCs w:val="20"/>
              </w:rPr>
            </w:pPr>
            <w:r w:rsidRPr="00D35950">
              <w:rPr>
                <w:i/>
                <w:iCs/>
                <w:szCs w:val="20"/>
              </w:rPr>
              <w:t>   Type of Contract</w:t>
            </w:r>
          </w:p>
        </w:tc>
        <w:tc>
          <w:tcPr>
            <w:tcW w:w="5742" w:type="dxa"/>
            <w:shd w:val="clear" w:color="auto" w:fill="auto"/>
            <w:tcMar>
              <w:top w:w="0" w:type="dxa"/>
              <w:left w:w="108" w:type="dxa"/>
              <w:bottom w:w="0" w:type="dxa"/>
              <w:right w:w="108" w:type="dxa"/>
            </w:tcMar>
          </w:tcPr>
          <w:p w14:paraId="36230B85" w14:textId="77777777" w:rsidR="00E03651" w:rsidRPr="00EE1751" w:rsidRDefault="00E03651" w:rsidP="00A42374">
            <w:r>
              <w:t>Time and Materials</w:t>
            </w:r>
          </w:p>
        </w:tc>
      </w:tr>
      <w:tr w:rsidR="00E03651" w:rsidRPr="00D35950" w14:paraId="22100901" w14:textId="77777777" w:rsidTr="00E03651">
        <w:trPr>
          <w:trHeight w:val="206"/>
        </w:trPr>
        <w:tc>
          <w:tcPr>
            <w:tcW w:w="3798" w:type="dxa"/>
            <w:shd w:val="clear" w:color="auto" w:fill="8DB3E2" w:themeFill="text2" w:themeFillTint="66"/>
            <w:tcMar>
              <w:top w:w="0" w:type="dxa"/>
              <w:left w:w="108" w:type="dxa"/>
              <w:bottom w:w="0" w:type="dxa"/>
              <w:right w:w="108" w:type="dxa"/>
            </w:tcMar>
          </w:tcPr>
          <w:p w14:paraId="6ABB2AC7" w14:textId="77777777" w:rsidR="00E03651" w:rsidRPr="00201730" w:rsidRDefault="00E03651" w:rsidP="00A42374">
            <w:pPr>
              <w:rPr>
                <w:b/>
              </w:rPr>
            </w:pPr>
            <w:r w:rsidRPr="00201730">
              <w:rPr>
                <w:b/>
              </w:rPr>
              <w:t>Total Value at Contract Award</w:t>
            </w:r>
          </w:p>
        </w:tc>
        <w:tc>
          <w:tcPr>
            <w:tcW w:w="5742" w:type="dxa"/>
            <w:shd w:val="clear" w:color="auto" w:fill="auto"/>
            <w:tcMar>
              <w:top w:w="0" w:type="dxa"/>
              <w:left w:w="108" w:type="dxa"/>
              <w:bottom w:w="0" w:type="dxa"/>
              <w:right w:w="108" w:type="dxa"/>
            </w:tcMar>
          </w:tcPr>
          <w:p w14:paraId="2964FB79" w14:textId="3B121259" w:rsidR="00E03651" w:rsidRPr="00DA5EAC" w:rsidRDefault="00583394" w:rsidP="00A42374">
            <w:pPr>
              <w:tabs>
                <w:tab w:val="left" w:pos="360"/>
                <w:tab w:val="left" w:pos="6480"/>
              </w:tabs>
            </w:pPr>
            <w:r>
              <w:t>$25,528,563.53</w:t>
            </w:r>
            <w:r w:rsidR="00E03651" w:rsidRPr="00DA5EAC">
              <w:t xml:space="preserve"> to </w:t>
            </w:r>
            <w:r w:rsidR="00DD548A">
              <w:t>Amplify Federal</w:t>
            </w:r>
            <w:r w:rsidR="00131A1B">
              <w:t xml:space="preserve"> </w:t>
            </w:r>
          </w:p>
        </w:tc>
      </w:tr>
      <w:tr w:rsidR="00E03651" w:rsidRPr="00D35950" w14:paraId="28A02623" w14:textId="77777777" w:rsidTr="00E03651">
        <w:trPr>
          <w:trHeight w:val="206"/>
        </w:trPr>
        <w:tc>
          <w:tcPr>
            <w:tcW w:w="3798" w:type="dxa"/>
            <w:shd w:val="clear" w:color="auto" w:fill="8DB3E2" w:themeFill="text2" w:themeFillTint="66"/>
            <w:tcMar>
              <w:top w:w="0" w:type="dxa"/>
              <w:left w:w="108" w:type="dxa"/>
              <w:bottom w:w="0" w:type="dxa"/>
              <w:right w:w="108" w:type="dxa"/>
            </w:tcMar>
          </w:tcPr>
          <w:p w14:paraId="5C36401B" w14:textId="77777777" w:rsidR="00E03651" w:rsidRPr="00201730" w:rsidRDefault="00E03651" w:rsidP="00A42374">
            <w:pPr>
              <w:rPr>
                <w:b/>
              </w:rPr>
            </w:pPr>
            <w:r w:rsidRPr="00201730">
              <w:rPr>
                <w:b/>
              </w:rPr>
              <w:t>Period of Performance</w:t>
            </w:r>
          </w:p>
        </w:tc>
        <w:tc>
          <w:tcPr>
            <w:tcW w:w="5742" w:type="dxa"/>
            <w:shd w:val="clear" w:color="auto" w:fill="auto"/>
            <w:tcMar>
              <w:top w:w="0" w:type="dxa"/>
              <w:left w:w="108" w:type="dxa"/>
              <w:bottom w:w="0" w:type="dxa"/>
              <w:right w:w="108" w:type="dxa"/>
            </w:tcMar>
          </w:tcPr>
          <w:p w14:paraId="2846365C" w14:textId="4528AF73" w:rsidR="00E03651" w:rsidRPr="00E031EF" w:rsidRDefault="00E03651" w:rsidP="00A42374">
            <w:r>
              <w:t>10/2008 – 0</w:t>
            </w:r>
            <w:r w:rsidR="000B1C7D">
              <w:t>7</w:t>
            </w:r>
            <w:r>
              <w:t>/20</w:t>
            </w:r>
            <w:r w:rsidR="000B1C7D">
              <w:t>20</w:t>
            </w:r>
          </w:p>
        </w:tc>
      </w:tr>
      <w:tr w:rsidR="00E03651" w:rsidRPr="00D35950" w14:paraId="1C418510" w14:textId="77777777" w:rsidTr="00DA5EAC">
        <w:tc>
          <w:tcPr>
            <w:tcW w:w="9540" w:type="dxa"/>
            <w:gridSpan w:val="2"/>
            <w:shd w:val="clear" w:color="auto" w:fill="1F497D" w:themeFill="text2"/>
            <w:tcMar>
              <w:top w:w="0" w:type="dxa"/>
              <w:left w:w="108" w:type="dxa"/>
              <w:bottom w:w="0" w:type="dxa"/>
              <w:right w:w="108" w:type="dxa"/>
            </w:tcMar>
          </w:tcPr>
          <w:p w14:paraId="22E3E7D4" w14:textId="77777777" w:rsidR="00E03651" w:rsidRPr="00D35950" w:rsidRDefault="00E03651" w:rsidP="00E03651">
            <w:pPr>
              <w:tabs>
                <w:tab w:val="left" w:pos="2130"/>
              </w:tabs>
              <w:rPr>
                <w:b/>
                <w:bCs/>
                <w:szCs w:val="20"/>
              </w:rPr>
            </w:pPr>
            <w:r>
              <w:rPr>
                <w:b/>
                <w:bCs/>
                <w:szCs w:val="20"/>
              </w:rPr>
              <w:tab/>
            </w:r>
          </w:p>
        </w:tc>
      </w:tr>
      <w:tr w:rsidR="00E03651" w:rsidRPr="00D35950" w14:paraId="00AE8E30" w14:textId="77777777" w:rsidTr="00551903">
        <w:trPr>
          <w:trHeight w:val="1420"/>
        </w:trPr>
        <w:tc>
          <w:tcPr>
            <w:tcW w:w="9540" w:type="dxa"/>
            <w:gridSpan w:val="2"/>
            <w:tcMar>
              <w:top w:w="0" w:type="dxa"/>
              <w:left w:w="108" w:type="dxa"/>
              <w:bottom w:w="0" w:type="dxa"/>
              <w:right w:w="108" w:type="dxa"/>
            </w:tcMar>
          </w:tcPr>
          <w:p w14:paraId="189A7083" w14:textId="6BA0BB37" w:rsidR="00E03651" w:rsidRDefault="00E03651" w:rsidP="00A42374">
            <w:pPr>
              <w:pStyle w:val="NormalWeb"/>
            </w:pPr>
            <w:r w:rsidRPr="00853DB7">
              <w:rPr>
                <w:b/>
                <w:szCs w:val="20"/>
              </w:rPr>
              <w:t>Project Description:</w:t>
            </w:r>
            <w:r>
              <w:rPr>
                <w:b/>
                <w:szCs w:val="20"/>
              </w:rPr>
              <w:t xml:space="preserve"> </w:t>
            </w:r>
            <w:r w:rsidR="00DD548A">
              <w:t>Amplify Federal</w:t>
            </w:r>
            <w:r>
              <w:t xml:space="preserve"> provide</w:t>
            </w:r>
            <w:r w:rsidR="00DD548A">
              <w:t>d</w:t>
            </w:r>
            <w:r>
              <w:t xml:space="preserve"> a variety of services to DoS to include: Installation, Training, Help Desk, Logistics Support, and Configuration Management Support for the Department of State, Bureau of Consular Affairs domestic, passport, and overseas operations. We provide support to approximately 3,100 domestic users, including Consular Affairs users in Washington, DC/Metropolitan area and system users in the Washington Passport Agency, Special Issuance Agency, National Passport Center, National Passport Information Center, and 17 passport agencies across the country. The Help Desk provides support to approximately 7,000 overseas users in over 230 overseas posts on 44 different applications.</w:t>
            </w:r>
            <w:r>
              <w:br/>
            </w:r>
            <w:r>
              <w:br/>
              <w:t xml:space="preserve">More specifically, </w:t>
            </w:r>
            <w:r w:rsidR="0021370A">
              <w:t xml:space="preserve">AMPLIFY FEDERAL </w:t>
            </w:r>
            <w:r>
              <w:t>provide</w:t>
            </w:r>
            <w:r w:rsidR="00DD548A">
              <w:t>d</w:t>
            </w:r>
            <w:r>
              <w:t xml:space="preserve"> the following support for DoS:</w:t>
            </w:r>
          </w:p>
          <w:p w14:paraId="77DAFFD1" w14:textId="697A11F1" w:rsidR="00E03651" w:rsidRDefault="00E03651" w:rsidP="00A42374">
            <w:pPr>
              <w:numPr>
                <w:ilvl w:val="0"/>
                <w:numId w:val="14"/>
              </w:numPr>
              <w:spacing w:before="100" w:beforeAutospacing="1" w:after="100" w:afterAutospacing="1"/>
            </w:pPr>
            <w:r>
              <w:t xml:space="preserve">We </w:t>
            </w:r>
            <w:r w:rsidR="0021370A">
              <w:t>s</w:t>
            </w:r>
            <w:r>
              <w:t>upport</w:t>
            </w:r>
            <w:r w:rsidR="0021370A">
              <w:t>ed</w:t>
            </w:r>
            <w:r>
              <w:t xml:space="preserve"> and maintain</w:t>
            </w:r>
            <w:r w:rsidR="0021370A">
              <w:t>ed</w:t>
            </w:r>
            <w:r>
              <w:t xml:space="preserve"> installed systems including providing maintenance, software changes/enhancements, and other help-desk functions </w:t>
            </w:r>
          </w:p>
          <w:p w14:paraId="2794F7E7" w14:textId="77777777" w:rsidR="00E03651" w:rsidRDefault="00E03651" w:rsidP="00A42374">
            <w:pPr>
              <w:numPr>
                <w:ilvl w:val="0"/>
                <w:numId w:val="14"/>
              </w:numPr>
              <w:spacing w:before="100" w:beforeAutospacing="1" w:after="100" w:afterAutospacing="1"/>
            </w:pPr>
            <w:r>
              <w:t xml:space="preserve">We Forecast future hardware and COTS software needs based on the repair and replacement history of installed equipment, the DOS-specified three (3) year hardware replacement cycle, site requests for new equipment, and vendor product plans </w:t>
            </w:r>
          </w:p>
          <w:p w14:paraId="18F71FE1" w14:textId="3FDF5670" w:rsidR="00E03651" w:rsidRDefault="00E03651" w:rsidP="00A42374">
            <w:pPr>
              <w:numPr>
                <w:ilvl w:val="0"/>
                <w:numId w:val="14"/>
              </w:numPr>
              <w:spacing w:before="100" w:beforeAutospacing="1" w:after="100" w:afterAutospacing="1"/>
            </w:pPr>
            <w:r>
              <w:t xml:space="preserve">Procure, </w:t>
            </w:r>
            <w:r w:rsidR="00DD548A">
              <w:t>receive,</w:t>
            </w:r>
            <w:r>
              <w:t xml:space="preserve"> and store hardware and software </w:t>
            </w:r>
          </w:p>
          <w:p w14:paraId="5B8EAEBD" w14:textId="77777777" w:rsidR="00E03651" w:rsidRDefault="00E03651" w:rsidP="00A42374">
            <w:pPr>
              <w:numPr>
                <w:ilvl w:val="0"/>
                <w:numId w:val="14"/>
              </w:numPr>
              <w:spacing w:before="100" w:beforeAutospacing="1" w:after="100" w:afterAutospacing="1"/>
            </w:pPr>
            <w:r>
              <w:t xml:space="preserve">Create and maintain documentation for installed systems, these are available in hard-copy as well as electronic form </w:t>
            </w:r>
          </w:p>
          <w:p w14:paraId="0BD264C0" w14:textId="77777777" w:rsidR="00E03651" w:rsidRDefault="00E03651" w:rsidP="00A42374">
            <w:pPr>
              <w:numPr>
                <w:ilvl w:val="0"/>
                <w:numId w:val="14"/>
              </w:numPr>
              <w:spacing w:before="100" w:beforeAutospacing="1" w:after="100" w:afterAutospacing="1"/>
            </w:pPr>
            <w:r>
              <w:t>Install upgraded and new systems and software, notably Windows 2000/2003 servers with Oracle databases</w:t>
            </w:r>
          </w:p>
          <w:p w14:paraId="216FD64B" w14:textId="4617BAEF" w:rsidR="00E03651" w:rsidRDefault="00E03651" w:rsidP="00A42374">
            <w:pPr>
              <w:numPr>
                <w:ilvl w:val="0"/>
                <w:numId w:val="14"/>
              </w:numPr>
              <w:spacing w:before="100" w:beforeAutospacing="1" w:after="100" w:afterAutospacing="1"/>
            </w:pPr>
            <w:r>
              <w:t xml:space="preserve">Integrate, </w:t>
            </w:r>
            <w:r w:rsidR="00DD548A">
              <w:t>maintain,</w:t>
            </w:r>
            <w:r>
              <w:t xml:space="preserve"> and create complex biometric systems, passport production equipment, and government proprietary applications.  </w:t>
            </w:r>
          </w:p>
          <w:p w14:paraId="5A7CCC18" w14:textId="2F6E5A36" w:rsidR="00E03651" w:rsidRPr="00551903" w:rsidRDefault="00E03651" w:rsidP="00A42374">
            <w:pPr>
              <w:numPr>
                <w:ilvl w:val="0"/>
                <w:numId w:val="14"/>
              </w:numPr>
              <w:spacing w:before="100" w:beforeAutospacing="1" w:after="100" w:afterAutospacing="1"/>
            </w:pPr>
            <w:r>
              <w:t>We also train</w:t>
            </w:r>
            <w:r w:rsidR="0021370A">
              <w:t>ed</w:t>
            </w:r>
            <w:r>
              <w:t xml:space="preserve"> DoS Officer personnel at Foreign Service Institute (FSI) prior to their assignments Overseas  These courses include application training, systems trainings, and general overview classes on the goals and mission of DoS.</w:t>
            </w:r>
          </w:p>
        </w:tc>
      </w:tr>
      <w:tr w:rsidR="00E03651" w:rsidRPr="00D35950" w14:paraId="3E72FCB3" w14:textId="77777777" w:rsidTr="00DA5EAC">
        <w:trPr>
          <w:trHeight w:val="100"/>
        </w:trPr>
        <w:tc>
          <w:tcPr>
            <w:tcW w:w="9540" w:type="dxa"/>
            <w:gridSpan w:val="2"/>
            <w:shd w:val="clear" w:color="auto" w:fill="1F497D" w:themeFill="text2"/>
            <w:tcMar>
              <w:top w:w="0" w:type="dxa"/>
              <w:left w:w="108" w:type="dxa"/>
              <w:bottom w:w="0" w:type="dxa"/>
              <w:right w:w="108" w:type="dxa"/>
            </w:tcMar>
          </w:tcPr>
          <w:p w14:paraId="43917645" w14:textId="77777777" w:rsidR="00E03651" w:rsidRPr="000238F3" w:rsidRDefault="00E03651" w:rsidP="00E03651">
            <w:pPr>
              <w:jc w:val="center"/>
              <w:rPr>
                <w:b/>
                <w:szCs w:val="20"/>
                <w:u w:val="single"/>
              </w:rPr>
            </w:pPr>
          </w:p>
        </w:tc>
      </w:tr>
      <w:tr w:rsidR="00E03651" w:rsidRPr="00D35950" w14:paraId="4BD5FC90" w14:textId="77777777" w:rsidTr="00A42374">
        <w:trPr>
          <w:trHeight w:val="5002"/>
        </w:trPr>
        <w:tc>
          <w:tcPr>
            <w:tcW w:w="9540" w:type="dxa"/>
            <w:gridSpan w:val="2"/>
            <w:tcMar>
              <w:top w:w="0" w:type="dxa"/>
              <w:left w:w="108" w:type="dxa"/>
              <w:bottom w:w="0" w:type="dxa"/>
              <w:right w:w="108" w:type="dxa"/>
            </w:tcMar>
          </w:tcPr>
          <w:p w14:paraId="5C5536D8" w14:textId="77777777" w:rsidR="00E03651" w:rsidRDefault="00E03651" w:rsidP="00A42374">
            <w:pPr>
              <w:rPr>
                <w:b/>
              </w:rPr>
            </w:pPr>
            <w:r w:rsidRPr="00AA0C31">
              <w:rPr>
                <w:b/>
              </w:rPr>
              <w:t>Project Relevance:</w:t>
            </w:r>
          </w:p>
          <w:p w14:paraId="4C25D1D0" w14:textId="381D509A" w:rsidR="00E03651" w:rsidRPr="001E0EE0" w:rsidRDefault="00E03651" w:rsidP="00A42374">
            <w:pPr>
              <w:numPr>
                <w:ilvl w:val="0"/>
                <w:numId w:val="11"/>
              </w:numPr>
              <w:spacing w:before="100" w:beforeAutospacing="1" w:after="100" w:afterAutospacing="1"/>
            </w:pPr>
            <w:r w:rsidRPr="00B04BB0">
              <w:rPr>
                <w:b/>
              </w:rPr>
              <w:t>Project Management</w:t>
            </w:r>
            <w:r w:rsidRPr="001E0EE0">
              <w:t xml:space="preserve"> </w:t>
            </w:r>
            <w:r>
              <w:t xml:space="preserve">– </w:t>
            </w:r>
            <w:r w:rsidR="0021370A">
              <w:t>Amplify Federal</w:t>
            </w:r>
            <w:r>
              <w:t xml:space="preserve"> contribute</w:t>
            </w:r>
            <w:r w:rsidR="0021370A">
              <w:t>d</w:t>
            </w:r>
            <w:r>
              <w:t xml:space="preserve"> directly to the effective program management of the Department of State contract.  When necessary, we effectively communicate with all stakeholders to ensure </w:t>
            </w:r>
            <w:r w:rsidR="0021370A">
              <w:t>AMPLIFY FEDERAL</w:t>
            </w:r>
            <w:r>
              <w:t xml:space="preserve"> is meeting the customers’ requirements.  Furthermore, we constantly work to minimize risk and ensure the success of the program.</w:t>
            </w:r>
          </w:p>
          <w:p w14:paraId="61EEEE21" w14:textId="07FF2416" w:rsidR="00E03651" w:rsidRPr="001E0EE0" w:rsidRDefault="00E03651" w:rsidP="00A42374">
            <w:pPr>
              <w:numPr>
                <w:ilvl w:val="0"/>
                <w:numId w:val="11"/>
              </w:numPr>
              <w:spacing w:before="100" w:beforeAutospacing="1" w:after="100" w:afterAutospacing="1"/>
            </w:pPr>
            <w:r w:rsidRPr="00B04BB0">
              <w:rPr>
                <w:b/>
              </w:rPr>
              <w:t>CA Domestic/Overseas Help Desk</w:t>
            </w:r>
            <w:r w:rsidRPr="001E0EE0">
              <w:t xml:space="preserve"> </w:t>
            </w:r>
            <w:r>
              <w:t xml:space="preserve">– </w:t>
            </w:r>
            <w:r w:rsidR="0021370A">
              <w:t>Amplify Federal</w:t>
            </w:r>
            <w:r>
              <w:t xml:space="preserve"> staff</w:t>
            </w:r>
            <w:r w:rsidR="0021370A">
              <w:t>ed</w:t>
            </w:r>
            <w:r>
              <w:t xml:space="preserve"> a 24x7 helpdesk for the department of State.  The helpdesk is responsible for level one trouble tickets reported by end users globally.  The tickets are tracked via Remedy, and escalation procedures are used to assign tickets to various other levels of support.  </w:t>
            </w:r>
          </w:p>
          <w:p w14:paraId="26325277" w14:textId="2AB6F839" w:rsidR="00E03651" w:rsidRPr="001E0EE0" w:rsidRDefault="00E03651" w:rsidP="00A42374">
            <w:pPr>
              <w:numPr>
                <w:ilvl w:val="0"/>
                <w:numId w:val="11"/>
              </w:numPr>
              <w:spacing w:before="100" w:beforeAutospacing="1" w:after="100" w:afterAutospacing="1"/>
            </w:pPr>
            <w:r w:rsidRPr="00B04BB0">
              <w:rPr>
                <w:b/>
              </w:rPr>
              <w:t>Network Support Services</w:t>
            </w:r>
            <w:r>
              <w:t xml:space="preserve"> – </w:t>
            </w:r>
            <w:r w:rsidR="0021370A">
              <w:t>Amplify Federal</w:t>
            </w:r>
            <w:r>
              <w:t xml:space="preserve"> </w:t>
            </w:r>
            <w:r w:rsidR="0021370A">
              <w:t>was</w:t>
            </w:r>
            <w:r>
              <w:t xml:space="preserve"> actively involved with the Network support of the </w:t>
            </w:r>
            <w:proofErr w:type="spellStart"/>
            <w:r>
              <w:t>UnClassNet</w:t>
            </w:r>
            <w:proofErr w:type="spellEnd"/>
            <w:r>
              <w:t xml:space="preserve"> at the Department of State.  This includes end users support, system administration, network monitoring, server support, and network administration.  Furthermore, </w:t>
            </w:r>
            <w:r w:rsidR="0021370A">
              <w:t>Amplify Federal</w:t>
            </w:r>
            <w:r>
              <w:t xml:space="preserve"> also monitors edge hardware as part of their daily activities.  These edge devices include point-to-point uplinks, encryption devices, Intrusion Detection (ID) hardware/software, Spam filters, active Antivirus scanners, and routers.</w:t>
            </w:r>
          </w:p>
          <w:p w14:paraId="739256F9" w14:textId="18EB73D6" w:rsidR="00E03651" w:rsidRPr="001E0EE0" w:rsidRDefault="00E03651" w:rsidP="00A42374">
            <w:pPr>
              <w:numPr>
                <w:ilvl w:val="0"/>
                <w:numId w:val="11"/>
              </w:numPr>
              <w:spacing w:before="100" w:beforeAutospacing="1" w:after="100" w:afterAutospacing="1"/>
            </w:pPr>
            <w:r w:rsidRPr="00B04BB0">
              <w:rPr>
                <w:b/>
              </w:rPr>
              <w:t>Configuration Management</w:t>
            </w:r>
            <w:r w:rsidRPr="001E0EE0">
              <w:t xml:space="preserve"> </w:t>
            </w:r>
            <w:r>
              <w:t xml:space="preserve">– All aspects of the Department of State contract </w:t>
            </w:r>
            <w:r w:rsidR="00DD548A">
              <w:t>involve</w:t>
            </w:r>
            <w:r>
              <w:t xml:space="preserve"> Configuration Management.  </w:t>
            </w:r>
            <w:r w:rsidR="0021370A">
              <w:t>Amplify Federal</w:t>
            </w:r>
            <w:r>
              <w:t xml:space="preserve"> uses Rational and ClearCase to ensure that all software and hardware changes adhere to the organization’s development process.  </w:t>
            </w:r>
            <w:r w:rsidR="0021370A">
              <w:t>Amplify Federal</w:t>
            </w:r>
            <w:r>
              <w:t xml:space="preserve"> lead the effort to implement a more robust CM approach for baseline images to be used on servers and workstations globally.  </w:t>
            </w:r>
          </w:p>
          <w:p w14:paraId="501F940E" w14:textId="78808ED8" w:rsidR="00E03651" w:rsidRPr="001E0EE0" w:rsidRDefault="00E03651" w:rsidP="00A42374">
            <w:pPr>
              <w:numPr>
                <w:ilvl w:val="0"/>
                <w:numId w:val="11"/>
              </w:numPr>
              <w:spacing w:before="100" w:beforeAutospacing="1" w:after="100" w:afterAutospacing="1"/>
            </w:pPr>
            <w:r w:rsidRPr="00B04BB0">
              <w:rPr>
                <w:b/>
              </w:rPr>
              <w:t xml:space="preserve">Training and Installation </w:t>
            </w:r>
            <w:r>
              <w:t xml:space="preserve">– </w:t>
            </w:r>
            <w:r w:rsidR="0021370A">
              <w:t>Amplify Federal</w:t>
            </w:r>
            <w:r>
              <w:t xml:space="preserve"> </w:t>
            </w:r>
            <w:r w:rsidR="0021370A">
              <w:t>was</w:t>
            </w:r>
            <w:r>
              <w:t xml:space="preserve"> involved in the global deployment of applications and hardware for DoS.  In this capacity, </w:t>
            </w:r>
            <w:r w:rsidR="0021370A">
              <w:t>Amplify Federal</w:t>
            </w:r>
            <w:r>
              <w:t xml:space="preserve"> has deployed servers and workstations to embassies and consulates round the world.  Work performed consists of building perfect PCs, imaging, integrating, and deploying systems that perform biometric input for Visas, systems that print and update Passports, Oracle 10 servers for databases, and communication equipment used in the background investigation process to determine an individual’s eligibility to enter the United States.</w:t>
            </w:r>
          </w:p>
          <w:p w14:paraId="667FB1D4" w14:textId="77777777" w:rsidR="00E03651" w:rsidRPr="009F30A4" w:rsidRDefault="00E03651" w:rsidP="00A42374">
            <w:pPr>
              <w:spacing w:before="100" w:beforeAutospacing="1" w:after="240"/>
            </w:pPr>
          </w:p>
        </w:tc>
      </w:tr>
    </w:tbl>
    <w:p w14:paraId="6B470563" w14:textId="77777777" w:rsidR="00E03651" w:rsidRDefault="00E03651" w:rsidP="00E03651"/>
    <w:p w14:paraId="1EA6A871" w14:textId="77777777" w:rsidR="00E03651" w:rsidRPr="00E03651" w:rsidRDefault="00E03651" w:rsidP="00E03651"/>
    <w:sectPr w:rsidR="00E03651" w:rsidRPr="00E03651" w:rsidSect="00C076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8616" w14:textId="77777777" w:rsidR="00AE438F" w:rsidRDefault="00AE438F" w:rsidP="00E03651">
      <w:r>
        <w:separator/>
      </w:r>
    </w:p>
  </w:endnote>
  <w:endnote w:type="continuationSeparator" w:id="0">
    <w:p w14:paraId="7A5C9602" w14:textId="77777777" w:rsidR="00AE438F" w:rsidRDefault="00AE438F" w:rsidP="00E0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8992" w14:textId="77777777" w:rsidR="00AE438F" w:rsidRDefault="00AE438F" w:rsidP="00E03651">
      <w:r>
        <w:separator/>
      </w:r>
    </w:p>
  </w:footnote>
  <w:footnote w:type="continuationSeparator" w:id="0">
    <w:p w14:paraId="38CFFC13" w14:textId="77777777" w:rsidR="00AE438F" w:rsidRDefault="00AE438F" w:rsidP="00E03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6DCB"/>
    <w:multiLevelType w:val="multilevel"/>
    <w:tmpl w:val="BC5C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0F2B"/>
    <w:multiLevelType w:val="hybridMultilevel"/>
    <w:tmpl w:val="8A067100"/>
    <w:lvl w:ilvl="0" w:tplc="FCB2EDD6">
      <w:start w:val="1"/>
      <w:numFmt w:val="bullet"/>
      <w:lvlText w:val=""/>
      <w:lvlJc w:val="left"/>
      <w:pPr>
        <w:tabs>
          <w:tab w:val="num" w:pos="2880"/>
        </w:tabs>
        <w:ind w:left="2880" w:hanging="72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0DA3AEE"/>
    <w:multiLevelType w:val="multilevel"/>
    <w:tmpl w:val="0FDA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6DC1"/>
    <w:multiLevelType w:val="hybridMultilevel"/>
    <w:tmpl w:val="9F701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BD52F1"/>
    <w:multiLevelType w:val="hybridMultilevel"/>
    <w:tmpl w:val="6002A9A4"/>
    <w:lvl w:ilvl="0" w:tplc="4CCE13B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D4005"/>
    <w:multiLevelType w:val="hybridMultilevel"/>
    <w:tmpl w:val="5E8EE568"/>
    <w:lvl w:ilvl="0" w:tplc="4CCE13B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DA0B7F"/>
    <w:multiLevelType w:val="hybridMultilevel"/>
    <w:tmpl w:val="5D1206E2"/>
    <w:lvl w:ilvl="0" w:tplc="4CCE13B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9F7FDC"/>
    <w:multiLevelType w:val="multilevel"/>
    <w:tmpl w:val="6246932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ascii="Times New Roman" w:hAnsi="Times New Roman"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 w15:restartNumberingAfterBreak="0">
    <w:nsid w:val="358D0E09"/>
    <w:multiLevelType w:val="hybridMultilevel"/>
    <w:tmpl w:val="22B0FD88"/>
    <w:lvl w:ilvl="0" w:tplc="5400051A">
      <w:start w:val="1"/>
      <w:numFmt w:val="bullet"/>
      <w:lvlText w:val=""/>
      <w:lvlJc w:val="left"/>
      <w:pPr>
        <w:tabs>
          <w:tab w:val="num" w:pos="360"/>
        </w:tabs>
        <w:ind w:left="360" w:hanging="360"/>
      </w:pPr>
      <w:rPr>
        <w:rFonts w:ascii="Symbol" w:hAnsi="Symbol" w:hint="default"/>
        <w:color w:val="auto"/>
        <w:sz w:val="20"/>
      </w:rPr>
    </w:lvl>
    <w:lvl w:ilvl="1" w:tplc="397CC92E" w:tentative="1">
      <w:start w:val="1"/>
      <w:numFmt w:val="bullet"/>
      <w:lvlText w:val="o"/>
      <w:lvlJc w:val="left"/>
      <w:pPr>
        <w:tabs>
          <w:tab w:val="num" w:pos="1440"/>
        </w:tabs>
        <w:ind w:left="1440" w:hanging="360"/>
      </w:pPr>
      <w:rPr>
        <w:rFonts w:ascii="Courier New" w:hAnsi="Courier New" w:cs="Courier New" w:hint="default"/>
      </w:rPr>
    </w:lvl>
    <w:lvl w:ilvl="2" w:tplc="75965B52" w:tentative="1">
      <w:start w:val="1"/>
      <w:numFmt w:val="bullet"/>
      <w:lvlText w:val=""/>
      <w:lvlJc w:val="left"/>
      <w:pPr>
        <w:tabs>
          <w:tab w:val="num" w:pos="2160"/>
        </w:tabs>
        <w:ind w:left="2160" w:hanging="360"/>
      </w:pPr>
      <w:rPr>
        <w:rFonts w:ascii="Wingdings" w:hAnsi="Wingdings" w:hint="default"/>
      </w:rPr>
    </w:lvl>
    <w:lvl w:ilvl="3" w:tplc="E302677E" w:tentative="1">
      <w:start w:val="1"/>
      <w:numFmt w:val="bullet"/>
      <w:lvlText w:val=""/>
      <w:lvlJc w:val="left"/>
      <w:pPr>
        <w:tabs>
          <w:tab w:val="num" w:pos="2880"/>
        </w:tabs>
        <w:ind w:left="2880" w:hanging="360"/>
      </w:pPr>
      <w:rPr>
        <w:rFonts w:ascii="Symbol" w:hAnsi="Symbol" w:hint="default"/>
      </w:rPr>
    </w:lvl>
    <w:lvl w:ilvl="4" w:tplc="E12C0D2A" w:tentative="1">
      <w:start w:val="1"/>
      <w:numFmt w:val="bullet"/>
      <w:lvlText w:val="o"/>
      <w:lvlJc w:val="left"/>
      <w:pPr>
        <w:tabs>
          <w:tab w:val="num" w:pos="3600"/>
        </w:tabs>
        <w:ind w:left="3600" w:hanging="360"/>
      </w:pPr>
      <w:rPr>
        <w:rFonts w:ascii="Courier New" w:hAnsi="Courier New" w:cs="Courier New" w:hint="default"/>
      </w:rPr>
    </w:lvl>
    <w:lvl w:ilvl="5" w:tplc="5AD2BB62" w:tentative="1">
      <w:start w:val="1"/>
      <w:numFmt w:val="bullet"/>
      <w:lvlText w:val=""/>
      <w:lvlJc w:val="left"/>
      <w:pPr>
        <w:tabs>
          <w:tab w:val="num" w:pos="4320"/>
        </w:tabs>
        <w:ind w:left="4320" w:hanging="360"/>
      </w:pPr>
      <w:rPr>
        <w:rFonts w:ascii="Wingdings" w:hAnsi="Wingdings" w:hint="default"/>
      </w:rPr>
    </w:lvl>
    <w:lvl w:ilvl="6" w:tplc="25AA5A54" w:tentative="1">
      <w:start w:val="1"/>
      <w:numFmt w:val="bullet"/>
      <w:lvlText w:val=""/>
      <w:lvlJc w:val="left"/>
      <w:pPr>
        <w:tabs>
          <w:tab w:val="num" w:pos="5040"/>
        </w:tabs>
        <w:ind w:left="5040" w:hanging="360"/>
      </w:pPr>
      <w:rPr>
        <w:rFonts w:ascii="Symbol" w:hAnsi="Symbol" w:hint="default"/>
      </w:rPr>
    </w:lvl>
    <w:lvl w:ilvl="7" w:tplc="AB267EEC" w:tentative="1">
      <w:start w:val="1"/>
      <w:numFmt w:val="bullet"/>
      <w:lvlText w:val="o"/>
      <w:lvlJc w:val="left"/>
      <w:pPr>
        <w:tabs>
          <w:tab w:val="num" w:pos="5760"/>
        </w:tabs>
        <w:ind w:left="5760" w:hanging="360"/>
      </w:pPr>
      <w:rPr>
        <w:rFonts w:ascii="Courier New" w:hAnsi="Courier New" w:cs="Courier New" w:hint="default"/>
      </w:rPr>
    </w:lvl>
    <w:lvl w:ilvl="8" w:tplc="B8F0472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615F10"/>
    <w:multiLevelType w:val="hybridMultilevel"/>
    <w:tmpl w:val="6C06BEE8"/>
    <w:lvl w:ilvl="0" w:tplc="4CCE13BC">
      <w:start w:val="1"/>
      <w:numFmt w:val="bullet"/>
      <w:lvlText w:val=""/>
      <w:lvlJc w:val="left"/>
      <w:pPr>
        <w:tabs>
          <w:tab w:val="num" w:pos="0"/>
        </w:tabs>
        <w:ind w:left="0"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66175351"/>
    <w:multiLevelType w:val="multilevel"/>
    <w:tmpl w:val="2C2A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033976"/>
    <w:multiLevelType w:val="multilevel"/>
    <w:tmpl w:val="5264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0D165E"/>
    <w:multiLevelType w:val="hybridMultilevel"/>
    <w:tmpl w:val="B3AEA002"/>
    <w:lvl w:ilvl="0" w:tplc="FCB2EDD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0C42BD"/>
    <w:multiLevelType w:val="hybridMultilevel"/>
    <w:tmpl w:val="1E9CA004"/>
    <w:lvl w:ilvl="0" w:tplc="4CCE13B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7475330">
    <w:abstractNumId w:val="7"/>
  </w:num>
  <w:num w:numId="2" w16cid:durableId="221450280">
    <w:abstractNumId w:val="8"/>
  </w:num>
  <w:num w:numId="3" w16cid:durableId="1823352567">
    <w:abstractNumId w:val="5"/>
  </w:num>
  <w:num w:numId="4" w16cid:durableId="835923272">
    <w:abstractNumId w:val="6"/>
  </w:num>
  <w:num w:numId="5" w16cid:durableId="59334415">
    <w:abstractNumId w:val="4"/>
  </w:num>
  <w:num w:numId="6" w16cid:durableId="925113519">
    <w:abstractNumId w:val="13"/>
  </w:num>
  <w:num w:numId="7" w16cid:durableId="1456026253">
    <w:abstractNumId w:val="12"/>
  </w:num>
  <w:num w:numId="8" w16cid:durableId="202208372">
    <w:abstractNumId w:val="1"/>
  </w:num>
  <w:num w:numId="9" w16cid:durableId="808523228">
    <w:abstractNumId w:val="9"/>
  </w:num>
  <w:num w:numId="10" w16cid:durableId="559750341">
    <w:abstractNumId w:val="3"/>
  </w:num>
  <w:num w:numId="11" w16cid:durableId="1080062473">
    <w:abstractNumId w:val="10"/>
  </w:num>
  <w:num w:numId="12" w16cid:durableId="662515317">
    <w:abstractNumId w:val="2"/>
  </w:num>
  <w:num w:numId="13" w16cid:durableId="1190338892">
    <w:abstractNumId w:val="11"/>
  </w:num>
  <w:num w:numId="14" w16cid:durableId="57902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AB"/>
    <w:rsid w:val="00025FA1"/>
    <w:rsid w:val="000B1C7D"/>
    <w:rsid w:val="00131A1B"/>
    <w:rsid w:val="001803AB"/>
    <w:rsid w:val="001E0EE0"/>
    <w:rsid w:val="002129AC"/>
    <w:rsid w:val="0021370A"/>
    <w:rsid w:val="00225FCC"/>
    <w:rsid w:val="00277770"/>
    <w:rsid w:val="00284191"/>
    <w:rsid w:val="00290135"/>
    <w:rsid w:val="002C7310"/>
    <w:rsid w:val="002E6699"/>
    <w:rsid w:val="00395022"/>
    <w:rsid w:val="003E00A4"/>
    <w:rsid w:val="004523F8"/>
    <w:rsid w:val="004C69B6"/>
    <w:rsid w:val="00520AB0"/>
    <w:rsid w:val="00551903"/>
    <w:rsid w:val="00577AE1"/>
    <w:rsid w:val="00583394"/>
    <w:rsid w:val="005D2018"/>
    <w:rsid w:val="00632BD5"/>
    <w:rsid w:val="00632F1B"/>
    <w:rsid w:val="006B3BDC"/>
    <w:rsid w:val="006B4283"/>
    <w:rsid w:val="007B0A45"/>
    <w:rsid w:val="007C55A7"/>
    <w:rsid w:val="00801E1E"/>
    <w:rsid w:val="00842162"/>
    <w:rsid w:val="00853DB7"/>
    <w:rsid w:val="00974BD2"/>
    <w:rsid w:val="00A06EDC"/>
    <w:rsid w:val="00A131C3"/>
    <w:rsid w:val="00A3351A"/>
    <w:rsid w:val="00AC082B"/>
    <w:rsid w:val="00AC4F48"/>
    <w:rsid w:val="00AE438F"/>
    <w:rsid w:val="00AF49E3"/>
    <w:rsid w:val="00B04BB0"/>
    <w:rsid w:val="00C0763E"/>
    <w:rsid w:val="00CE4A45"/>
    <w:rsid w:val="00DA5EAC"/>
    <w:rsid w:val="00DD548A"/>
    <w:rsid w:val="00E03651"/>
    <w:rsid w:val="00E302B5"/>
    <w:rsid w:val="00E42A19"/>
    <w:rsid w:val="00F440F9"/>
    <w:rsid w:val="00F45174"/>
    <w:rsid w:val="7117F3E0"/>
    <w:rsid w:val="7E56CAE0"/>
    <w:rsid w:val="7F35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7EA5E"/>
  <w15:docId w15:val="{96F32729-60AA-4970-8067-CF9A7A4C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3AB"/>
    <w:pPr>
      <w:spacing w:after="0" w:line="240" w:lineRule="auto"/>
    </w:pPr>
    <w:rPr>
      <w:rFonts w:ascii="Times New Roman" w:eastAsia="Times New Roman" w:hAnsi="Times New Roman" w:cs="Times New Roman"/>
      <w:sz w:val="24"/>
      <w:szCs w:val="24"/>
    </w:rPr>
  </w:style>
  <w:style w:type="paragraph" w:styleId="Heading1">
    <w:name w:val="heading 1"/>
    <w:aliases w:val="l1,Heading 1-ERI,1 ghost,g,Section Title,h1 chapter heading,A MAJOR/BOLD,level 1,Level 1 Head,h1,Section Heading,H1,ESC Heading 1,Heading EMC-1"/>
    <w:basedOn w:val="Normal"/>
    <w:next w:val="Normal"/>
    <w:link w:val="Heading1Char"/>
    <w:qFormat/>
    <w:rsid w:val="001803AB"/>
    <w:pPr>
      <w:keepNext/>
      <w:numPr>
        <w:numId w:val="1"/>
      </w:numPr>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1803AB"/>
    <w:pPr>
      <w:keepNext/>
      <w:numPr>
        <w:ilvl w:val="1"/>
        <w:numId w:val="1"/>
      </w:numPr>
      <w:spacing w:before="240" w:after="60"/>
      <w:outlineLvl w:val="1"/>
    </w:pPr>
    <w:rPr>
      <w:rFonts w:ascii="Arial" w:hAnsi="Arial" w:cs="Arial"/>
      <w:b/>
      <w:bCs/>
      <w:i/>
      <w:iCs/>
      <w:szCs w:val="28"/>
    </w:rPr>
  </w:style>
  <w:style w:type="paragraph" w:styleId="Heading3">
    <w:name w:val="heading 3"/>
    <w:aliases w:val="3,3 bullet,b,2,Level 2 Heading,h2,Level 2,Heading 3 Char1,Heading 3 Char Char,h3,l3,Level 3 Head,H3"/>
    <w:basedOn w:val="Normal"/>
    <w:next w:val="Normal"/>
    <w:link w:val="Heading3Char"/>
    <w:qFormat/>
    <w:rsid w:val="001803AB"/>
    <w:pPr>
      <w:keepNext/>
      <w:numPr>
        <w:ilvl w:val="2"/>
        <w:numId w:val="1"/>
      </w:numPr>
      <w:spacing w:before="240" w:after="60"/>
      <w:outlineLvl w:val="2"/>
    </w:pPr>
    <w:rPr>
      <w:rFonts w:ascii="Arial" w:hAnsi="Arial" w:cs="Arial"/>
      <w:b/>
      <w:bCs/>
      <w:szCs w:val="26"/>
    </w:rPr>
  </w:style>
  <w:style w:type="paragraph" w:styleId="Heading4">
    <w:name w:val="heading 4"/>
    <w:aliases w:val="4,4 dash,d,Level 3 Heading,Heading 4 Char1,Heading 4 Char Char,h4,a."/>
    <w:basedOn w:val="Normal"/>
    <w:next w:val="Normal"/>
    <w:link w:val="Heading4Char"/>
    <w:qFormat/>
    <w:rsid w:val="001803AB"/>
    <w:pPr>
      <w:keepNext/>
      <w:numPr>
        <w:ilvl w:val="3"/>
        <w:numId w:val="1"/>
      </w:numPr>
      <w:spacing w:before="240" w:after="60"/>
      <w:outlineLvl w:val="3"/>
    </w:pPr>
    <w:rPr>
      <w:b/>
      <w:bCs/>
      <w:sz w:val="28"/>
      <w:szCs w:val="28"/>
    </w:rPr>
  </w:style>
  <w:style w:type="paragraph" w:styleId="Heading5">
    <w:name w:val="heading 5"/>
    <w:aliases w:val="5 sub-bullet,sb,H5"/>
    <w:basedOn w:val="Normal"/>
    <w:next w:val="Normal"/>
    <w:link w:val="Heading5Char"/>
    <w:qFormat/>
    <w:rsid w:val="001803AB"/>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1803AB"/>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803AB"/>
    <w:pPr>
      <w:numPr>
        <w:ilvl w:val="6"/>
        <w:numId w:val="1"/>
      </w:numPr>
      <w:spacing w:before="240" w:after="60"/>
      <w:outlineLvl w:val="6"/>
    </w:pPr>
  </w:style>
  <w:style w:type="paragraph" w:styleId="Heading8">
    <w:name w:val="heading 8"/>
    <w:basedOn w:val="Normal"/>
    <w:next w:val="Normal"/>
    <w:link w:val="Heading8Char"/>
    <w:qFormat/>
    <w:rsid w:val="001803AB"/>
    <w:pPr>
      <w:numPr>
        <w:ilvl w:val="7"/>
        <w:numId w:val="1"/>
      </w:numPr>
      <w:spacing w:before="240" w:after="60"/>
      <w:outlineLvl w:val="7"/>
    </w:pPr>
    <w:rPr>
      <w:i/>
      <w:iCs/>
    </w:rPr>
  </w:style>
  <w:style w:type="paragraph" w:styleId="Heading9">
    <w:name w:val="heading 9"/>
    <w:basedOn w:val="Normal"/>
    <w:next w:val="Normal"/>
    <w:link w:val="Heading9Char"/>
    <w:qFormat/>
    <w:rsid w:val="001803A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ERI Char,1 ghost Char,g Char,Section Title Char,h1 chapter heading Char,A MAJOR/BOLD Char,level 1 Char,Level 1 Head Char,h1 Char,Section Heading Char,H1 Char,ESC Heading 1 Char,Heading EMC-1 Char"/>
    <w:basedOn w:val="DefaultParagraphFont"/>
    <w:link w:val="Heading1"/>
    <w:rsid w:val="001803AB"/>
    <w:rPr>
      <w:rFonts w:ascii="Arial" w:eastAsia="Times New Roman" w:hAnsi="Arial" w:cs="Arial"/>
      <w:b/>
      <w:bCs/>
      <w:kern w:val="32"/>
      <w:sz w:val="24"/>
      <w:szCs w:val="32"/>
    </w:rPr>
  </w:style>
  <w:style w:type="character" w:customStyle="1" w:styleId="Heading2Char">
    <w:name w:val="Heading 2 Char"/>
    <w:basedOn w:val="DefaultParagraphFont"/>
    <w:link w:val="Heading2"/>
    <w:rsid w:val="001803AB"/>
    <w:rPr>
      <w:rFonts w:ascii="Arial" w:eastAsia="Times New Roman" w:hAnsi="Arial" w:cs="Arial"/>
      <w:b/>
      <w:bCs/>
      <w:i/>
      <w:iCs/>
      <w:sz w:val="24"/>
      <w:szCs w:val="28"/>
    </w:rPr>
  </w:style>
  <w:style w:type="character" w:customStyle="1" w:styleId="Heading3Char">
    <w:name w:val="Heading 3 Char"/>
    <w:aliases w:val="3 Char,3 bullet Char,b Char,2 Char,Level 2 Heading Char,h2 Char,Level 2 Char,Heading 3 Char1 Char,Heading 3 Char Char Char,h3 Char,l3 Char,Level 3 Head Char,H3 Char"/>
    <w:basedOn w:val="DefaultParagraphFont"/>
    <w:link w:val="Heading3"/>
    <w:rsid w:val="001803AB"/>
    <w:rPr>
      <w:rFonts w:ascii="Arial" w:eastAsia="Times New Roman" w:hAnsi="Arial" w:cs="Arial"/>
      <w:b/>
      <w:bCs/>
      <w:sz w:val="24"/>
      <w:szCs w:val="26"/>
    </w:rPr>
  </w:style>
  <w:style w:type="character" w:customStyle="1" w:styleId="Heading4Char">
    <w:name w:val="Heading 4 Char"/>
    <w:aliases w:val="4 Char,4 dash Char,d Char,Level 3 Heading Char,Heading 4 Char1 Char,Heading 4 Char Char Char,h4 Char,a. Char"/>
    <w:basedOn w:val="DefaultParagraphFont"/>
    <w:link w:val="Heading4"/>
    <w:rsid w:val="001803AB"/>
    <w:rPr>
      <w:rFonts w:ascii="Times New Roman" w:eastAsia="Times New Roman" w:hAnsi="Times New Roman" w:cs="Times New Roman"/>
      <w:b/>
      <w:bCs/>
      <w:sz w:val="28"/>
      <w:szCs w:val="28"/>
    </w:rPr>
  </w:style>
  <w:style w:type="character" w:customStyle="1" w:styleId="Heading5Char">
    <w:name w:val="Heading 5 Char"/>
    <w:aliases w:val="5 sub-bullet Char,sb Char,H5 Char"/>
    <w:basedOn w:val="DefaultParagraphFont"/>
    <w:link w:val="Heading5"/>
    <w:rsid w:val="001803A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803AB"/>
    <w:rPr>
      <w:rFonts w:ascii="Times New Roman" w:eastAsia="Times New Roman" w:hAnsi="Times New Roman" w:cs="Times New Roman"/>
      <w:b/>
      <w:bCs/>
    </w:rPr>
  </w:style>
  <w:style w:type="character" w:customStyle="1" w:styleId="Heading7Char">
    <w:name w:val="Heading 7 Char"/>
    <w:basedOn w:val="DefaultParagraphFont"/>
    <w:link w:val="Heading7"/>
    <w:rsid w:val="001803A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803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803AB"/>
    <w:rPr>
      <w:rFonts w:ascii="Arial" w:eastAsia="Times New Roman" w:hAnsi="Arial" w:cs="Arial"/>
    </w:rPr>
  </w:style>
  <w:style w:type="character" w:styleId="Hyperlink">
    <w:name w:val="Hyperlink"/>
    <w:basedOn w:val="DefaultParagraphFont"/>
    <w:uiPriority w:val="99"/>
    <w:rsid w:val="001803AB"/>
    <w:rPr>
      <w:rFonts w:cs="Times New Roman"/>
      <w:color w:val="0000FF"/>
      <w:u w:val="single"/>
    </w:rPr>
  </w:style>
  <w:style w:type="paragraph" w:customStyle="1" w:styleId="EmailStyle251">
    <w:name w:val="EmailStyle251"/>
    <w:basedOn w:val="Normal"/>
    <w:next w:val="Normal"/>
    <w:link w:val="Heading2Char1"/>
    <w:qFormat/>
    <w:rsid w:val="00520AB0"/>
    <w:pPr>
      <w:keepNext/>
      <w:tabs>
        <w:tab w:val="num" w:pos="1260"/>
      </w:tabs>
      <w:spacing w:before="180"/>
      <w:ind w:left="1260" w:hanging="720"/>
      <w:outlineLvl w:val="1"/>
    </w:pPr>
    <w:rPr>
      <w:rFonts w:ascii="Arial Bold" w:hAnsi="Arial Bold"/>
      <w:b/>
      <w:color w:val="000080"/>
      <w:szCs w:val="28"/>
    </w:rPr>
  </w:style>
  <w:style w:type="character" w:customStyle="1" w:styleId="Heading2Char1">
    <w:name w:val="Heading 2 Char1"/>
    <w:aliases w:val="2 headline Char Char1,h Char Char1,Level 1 Heading Char Char1,h1 Char Char1,Level 1 Char Char1,Subsection Char Char,body Char1,H2 Char1,Section Char1,h2.H2 Char1,2m Char1,Header 2 Char1,l2 Char1,Level 2 Head Char1,- heading 2 Char1"/>
    <w:basedOn w:val="DefaultParagraphFont"/>
    <w:link w:val="EmailStyle251"/>
    <w:locked/>
    <w:rsid w:val="00520AB0"/>
    <w:rPr>
      <w:rFonts w:ascii="Arial Bold" w:eastAsia="Times New Roman" w:hAnsi="Arial Bold" w:cs="Times New Roman"/>
      <w:b/>
      <w:color w:val="000080"/>
      <w:sz w:val="24"/>
      <w:szCs w:val="28"/>
    </w:rPr>
  </w:style>
  <w:style w:type="table" w:styleId="TableGrid">
    <w:name w:val="Table Grid"/>
    <w:basedOn w:val="TableNormal"/>
    <w:rsid w:val="00520A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4BD2"/>
    <w:pPr>
      <w:spacing w:before="100" w:beforeAutospacing="1" w:after="100" w:afterAutospacing="1"/>
    </w:pPr>
  </w:style>
  <w:style w:type="paragraph" w:styleId="Header">
    <w:name w:val="header"/>
    <w:basedOn w:val="Normal"/>
    <w:link w:val="HeaderChar"/>
    <w:uiPriority w:val="99"/>
    <w:unhideWhenUsed/>
    <w:rsid w:val="00E03651"/>
    <w:pPr>
      <w:tabs>
        <w:tab w:val="center" w:pos="4680"/>
        <w:tab w:val="right" w:pos="9360"/>
      </w:tabs>
    </w:pPr>
  </w:style>
  <w:style w:type="character" w:customStyle="1" w:styleId="HeaderChar">
    <w:name w:val="Header Char"/>
    <w:basedOn w:val="DefaultParagraphFont"/>
    <w:link w:val="Header"/>
    <w:uiPriority w:val="99"/>
    <w:rsid w:val="00E036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651"/>
    <w:pPr>
      <w:tabs>
        <w:tab w:val="center" w:pos="4680"/>
        <w:tab w:val="right" w:pos="9360"/>
      </w:tabs>
    </w:pPr>
  </w:style>
  <w:style w:type="character" w:customStyle="1" w:styleId="FooterChar">
    <w:name w:val="Footer Char"/>
    <w:basedOn w:val="DefaultParagraphFont"/>
    <w:link w:val="Footer"/>
    <w:uiPriority w:val="99"/>
    <w:rsid w:val="00E036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0353">
      <w:bodyDiv w:val="1"/>
      <w:marLeft w:val="0"/>
      <w:marRight w:val="0"/>
      <w:marTop w:val="0"/>
      <w:marBottom w:val="0"/>
      <w:divBdr>
        <w:top w:val="none" w:sz="0" w:space="0" w:color="auto"/>
        <w:left w:val="none" w:sz="0" w:space="0" w:color="auto"/>
        <w:bottom w:val="none" w:sz="0" w:space="0" w:color="auto"/>
        <w:right w:val="none" w:sz="0" w:space="0" w:color="auto"/>
      </w:divBdr>
    </w:div>
    <w:div w:id="230775401">
      <w:bodyDiv w:val="1"/>
      <w:marLeft w:val="0"/>
      <w:marRight w:val="0"/>
      <w:marTop w:val="0"/>
      <w:marBottom w:val="0"/>
      <w:divBdr>
        <w:top w:val="none" w:sz="0" w:space="0" w:color="auto"/>
        <w:left w:val="none" w:sz="0" w:space="0" w:color="auto"/>
        <w:bottom w:val="none" w:sz="0" w:space="0" w:color="auto"/>
        <w:right w:val="none" w:sz="0" w:space="0" w:color="auto"/>
      </w:divBdr>
    </w:div>
    <w:div w:id="426771826">
      <w:bodyDiv w:val="1"/>
      <w:marLeft w:val="0"/>
      <w:marRight w:val="0"/>
      <w:marTop w:val="0"/>
      <w:marBottom w:val="0"/>
      <w:divBdr>
        <w:top w:val="none" w:sz="0" w:space="0" w:color="auto"/>
        <w:left w:val="none" w:sz="0" w:space="0" w:color="auto"/>
        <w:bottom w:val="none" w:sz="0" w:space="0" w:color="auto"/>
        <w:right w:val="none" w:sz="0" w:space="0" w:color="auto"/>
      </w:divBdr>
    </w:div>
    <w:div w:id="1366910546">
      <w:bodyDiv w:val="1"/>
      <w:marLeft w:val="0"/>
      <w:marRight w:val="0"/>
      <w:marTop w:val="0"/>
      <w:marBottom w:val="0"/>
      <w:divBdr>
        <w:top w:val="none" w:sz="0" w:space="0" w:color="auto"/>
        <w:left w:val="none" w:sz="0" w:space="0" w:color="auto"/>
        <w:bottom w:val="none" w:sz="0" w:space="0" w:color="auto"/>
        <w:right w:val="none" w:sz="0" w:space="0" w:color="auto"/>
      </w:divBdr>
    </w:div>
    <w:div w:id="1944410964">
      <w:bodyDiv w:val="1"/>
      <w:marLeft w:val="0"/>
      <w:marRight w:val="0"/>
      <w:marTop w:val="0"/>
      <w:marBottom w:val="0"/>
      <w:divBdr>
        <w:top w:val="none" w:sz="0" w:space="0" w:color="auto"/>
        <w:left w:val="none" w:sz="0" w:space="0" w:color="auto"/>
        <w:bottom w:val="none" w:sz="0" w:space="0" w:color="auto"/>
        <w:right w:val="none" w:sz="0" w:space="0" w:color="auto"/>
      </w:divBdr>
    </w:div>
    <w:div w:id="206964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76B3ED96AF04E961B5DA47902E593" ma:contentTypeVersion="11" ma:contentTypeDescription="Create a new document." ma:contentTypeScope="" ma:versionID="fe4f726fd302bc29e3b68028b62e4545">
  <xsd:schema xmlns:xsd="http://www.w3.org/2001/XMLSchema" xmlns:xs="http://www.w3.org/2001/XMLSchema" xmlns:p="http://schemas.microsoft.com/office/2006/metadata/properties" xmlns:ns2="4c63de94-5b9a-4b7d-9ba7-4923175def80" xmlns:ns3="7d53e6f2-b0ff-48af-a237-c0eee7f883d7" targetNamespace="http://schemas.microsoft.com/office/2006/metadata/properties" ma:root="true" ma:fieldsID="f4afc79b66cd40ba1319e4f11d46cfa0" ns2:_="" ns3:_="">
    <xsd:import namespace="4c63de94-5b9a-4b7d-9ba7-4923175def80"/>
    <xsd:import namespace="7d53e6f2-b0ff-48af-a237-c0eee7f883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3de94-5b9a-4b7d-9ba7-4923175de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3e6f2-b0ff-48af-a237-c0eee7f883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7DB88-BF43-4979-8CFD-6B89CCD10A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EA4FF8-9AA1-4C5D-98B7-69B719060E83}">
  <ds:schemaRefs>
    <ds:schemaRef ds:uri="http://schemas.microsoft.com/sharepoint/v3/contenttype/forms"/>
  </ds:schemaRefs>
</ds:datastoreItem>
</file>

<file path=customXml/itemProps3.xml><?xml version="1.0" encoding="utf-8"?>
<ds:datastoreItem xmlns:ds="http://schemas.openxmlformats.org/officeDocument/2006/customXml" ds:itemID="{D366DA4A-D24D-419F-9E60-7E3A99083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3de94-5b9a-4b7d-9ba7-4923175def80"/>
    <ds:schemaRef ds:uri="7d53e6f2-b0ff-48af-a237-c0eee7f88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Jfriend</dc:creator>
  <cp:lastModifiedBy>Andrew  Plofchan</cp:lastModifiedBy>
  <cp:revision>9</cp:revision>
  <cp:lastPrinted>2010-06-03T17:53:00Z</cp:lastPrinted>
  <dcterms:created xsi:type="dcterms:W3CDTF">2021-10-07T13:40:00Z</dcterms:created>
  <dcterms:modified xsi:type="dcterms:W3CDTF">2022-12-14T21:26:00Z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0x0101005E776B3ED96AF04E961B5DA47902E593</vt:lpwstr>
  </property>
</Properties>
</file>